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90126" w14:textId="1BC51907" w:rsidR="00254175" w:rsidRDefault="00254175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nr: 3</w:t>
      </w:r>
    </w:p>
    <w:p w14:paraId="4798D6A1" w14:textId="27E1B3BC" w:rsidR="004D03F0" w:rsidRDefault="00254175">
      <w:r>
        <w:t>Opis</w:t>
      </w:r>
      <w:r w:rsidR="00542256">
        <w:t xml:space="preserve"> przedmiotu postępowania: </w:t>
      </w:r>
    </w:p>
    <w:p w14:paraId="4D6EAD03" w14:textId="77777777" w:rsidR="00542256" w:rsidRPr="004303E0" w:rsidRDefault="00542256">
      <w:pPr>
        <w:rPr>
          <w:b/>
          <w:bCs/>
        </w:rPr>
      </w:pPr>
      <w:r w:rsidRPr="004303E0">
        <w:rPr>
          <w:b/>
          <w:bCs/>
        </w:rPr>
        <w:t xml:space="preserve">System do wizualizacji i archiwizacji żeli </w:t>
      </w:r>
      <w:proofErr w:type="spellStart"/>
      <w:r w:rsidRPr="004303E0">
        <w:rPr>
          <w:b/>
          <w:bCs/>
        </w:rPr>
        <w:t>agarozowych</w:t>
      </w:r>
      <w:proofErr w:type="spellEnd"/>
      <w:r w:rsidRPr="004303E0">
        <w:rPr>
          <w:b/>
          <w:bCs/>
        </w:rPr>
        <w:t xml:space="preserve"> i </w:t>
      </w:r>
      <w:proofErr w:type="spellStart"/>
      <w:r w:rsidRPr="004303E0">
        <w:rPr>
          <w:b/>
          <w:bCs/>
        </w:rPr>
        <w:t>blotów</w:t>
      </w:r>
      <w:proofErr w:type="spellEnd"/>
      <w:r w:rsidRPr="004303E0">
        <w:rPr>
          <w:b/>
          <w:bCs/>
        </w:rPr>
        <w:t>.</w:t>
      </w:r>
    </w:p>
    <w:p w14:paraId="29F033B8" w14:textId="77777777" w:rsidR="00542256" w:rsidRDefault="00542256" w:rsidP="00542256">
      <w:pPr>
        <w:pStyle w:val="Akapitzlist"/>
        <w:numPr>
          <w:ilvl w:val="0"/>
          <w:numId w:val="1"/>
        </w:numPr>
      </w:pPr>
      <w:r>
        <w:t>System ma umożliwiać wizualizację kwasów nukleinowych oraz białek przy użyciu światła UV</w:t>
      </w:r>
      <w:r w:rsidR="00894CD7">
        <w:t>.</w:t>
      </w:r>
    </w:p>
    <w:p w14:paraId="7EFCD555" w14:textId="77777777" w:rsidR="00542256" w:rsidRDefault="00542256" w:rsidP="00542256">
      <w:pPr>
        <w:pStyle w:val="Akapitzlist"/>
        <w:numPr>
          <w:ilvl w:val="0"/>
          <w:numId w:val="1"/>
        </w:numPr>
      </w:pPr>
      <w:r>
        <w:t xml:space="preserve">System ma umożliwiać zapis obrazów żeli białkowych i detekcja białka bez wybarwiania żeli oraz </w:t>
      </w:r>
      <w:proofErr w:type="spellStart"/>
      <w:r>
        <w:t>blotów</w:t>
      </w:r>
      <w:proofErr w:type="spellEnd"/>
      <w:r>
        <w:t xml:space="preserve"> w technologii </w:t>
      </w:r>
      <w:proofErr w:type="spellStart"/>
      <w:r>
        <w:t>Stain-Free</w:t>
      </w:r>
      <w:proofErr w:type="spellEnd"/>
      <w:r>
        <w:t>.</w:t>
      </w:r>
    </w:p>
    <w:p w14:paraId="449126A0" w14:textId="77777777" w:rsidR="00542256" w:rsidRDefault="00542256" w:rsidP="00542256">
      <w:pPr>
        <w:pStyle w:val="Akapitzlist"/>
        <w:numPr>
          <w:ilvl w:val="0"/>
          <w:numId w:val="1"/>
        </w:numPr>
      </w:pPr>
      <w:r>
        <w:t>System ma posiadać zintegrowaną mini-ciemnię optyczną z wbudowaną prowadnicą służącą do mocowania dedykowanych do wybranej aplikacji tac z powierzchnią zdjęcia min. 21 cm x 14 cm. Tace oraz aplikacje, do których są przeznaczone muszą być automatycznie rozpoznawane przez urządzenie.</w:t>
      </w:r>
    </w:p>
    <w:p w14:paraId="0F838EA3" w14:textId="77777777" w:rsidR="00542256" w:rsidRDefault="00542256" w:rsidP="00542256">
      <w:pPr>
        <w:pStyle w:val="Akapitzlist"/>
        <w:numPr>
          <w:ilvl w:val="0"/>
          <w:numId w:val="1"/>
        </w:numPr>
      </w:pPr>
      <w:r>
        <w:t>Prowadnica powinna być wysuwana z urządzenia w celu umieszczenia żelu</w:t>
      </w:r>
      <w:r w:rsidR="00894CD7">
        <w:t>.</w:t>
      </w:r>
    </w:p>
    <w:p w14:paraId="4503B3C5" w14:textId="77777777" w:rsidR="00542256" w:rsidRDefault="00542256" w:rsidP="00542256">
      <w:pPr>
        <w:pStyle w:val="Akapitzlist"/>
        <w:numPr>
          <w:ilvl w:val="0"/>
          <w:numId w:val="1"/>
        </w:numPr>
      </w:pPr>
      <w:r>
        <w:t xml:space="preserve">Detekcja ma być dokonywana za pomocą kamery przetwornikiem CMOS, 6.3 </w:t>
      </w:r>
      <w:proofErr w:type="spellStart"/>
      <w:r>
        <w:t>Mpixeli</w:t>
      </w:r>
      <w:proofErr w:type="spellEnd"/>
      <w:r>
        <w:t>.</w:t>
      </w:r>
    </w:p>
    <w:p w14:paraId="3A145B04" w14:textId="77777777" w:rsidR="00542256" w:rsidRDefault="00542256" w:rsidP="00542256">
      <w:pPr>
        <w:pStyle w:val="Akapitzlist"/>
        <w:numPr>
          <w:ilvl w:val="0"/>
          <w:numId w:val="1"/>
        </w:numPr>
      </w:pPr>
      <w:r>
        <w:t xml:space="preserve">Rozmiary piksela w kamerze powinny wynosić 2,4 </w:t>
      </w:r>
      <w:proofErr w:type="spellStart"/>
      <w:r>
        <w:t>μm</w:t>
      </w:r>
      <w:proofErr w:type="spellEnd"/>
      <w:r>
        <w:t xml:space="preserve"> x 2,4 </w:t>
      </w:r>
      <w:proofErr w:type="spellStart"/>
      <w:r>
        <w:t>μm</w:t>
      </w:r>
      <w:proofErr w:type="spellEnd"/>
      <w:r>
        <w:t>.</w:t>
      </w:r>
    </w:p>
    <w:p w14:paraId="39F4891C" w14:textId="77777777" w:rsidR="00542256" w:rsidRDefault="00542256" w:rsidP="00894CD7">
      <w:pPr>
        <w:pStyle w:val="Akapitzlist"/>
        <w:numPr>
          <w:ilvl w:val="0"/>
          <w:numId w:val="1"/>
        </w:numPr>
      </w:pPr>
      <w:r>
        <w:t>Zakres dynamiczny sygnału kamery ma wynosić min. 3,5 rzędu wielkości (65 536 odcieni</w:t>
      </w:r>
      <w:r w:rsidR="00894CD7">
        <w:t xml:space="preserve"> </w:t>
      </w:r>
      <w:r>
        <w:t>szarości).</w:t>
      </w:r>
    </w:p>
    <w:p w14:paraId="753CDD25" w14:textId="77777777" w:rsidR="00542256" w:rsidRDefault="00542256" w:rsidP="00542256">
      <w:pPr>
        <w:pStyle w:val="Akapitzlist"/>
        <w:numPr>
          <w:ilvl w:val="0"/>
          <w:numId w:val="1"/>
        </w:numPr>
      </w:pPr>
      <w:r>
        <w:t>Powinny być dostępne następujące źródła światła:</w:t>
      </w:r>
    </w:p>
    <w:p w14:paraId="3AFCDCD0" w14:textId="77777777" w:rsidR="00542256" w:rsidRDefault="00542256" w:rsidP="00542256">
      <w:pPr>
        <w:pStyle w:val="Akapitzlist"/>
      </w:pPr>
      <w:r>
        <w:t xml:space="preserve">a. Światło UV przechodzące 302 </w:t>
      </w:r>
      <w:proofErr w:type="spellStart"/>
      <w:r>
        <w:t>nm</w:t>
      </w:r>
      <w:proofErr w:type="spellEnd"/>
    </w:p>
    <w:p w14:paraId="11AFE185" w14:textId="77777777" w:rsidR="00542256" w:rsidRDefault="00542256" w:rsidP="00542256">
      <w:pPr>
        <w:pStyle w:val="Akapitzlist"/>
      </w:pPr>
      <w:r>
        <w:t>b. Światło białe – podświetlenie z góry</w:t>
      </w:r>
    </w:p>
    <w:p w14:paraId="236B6982" w14:textId="77777777" w:rsidR="00542256" w:rsidRDefault="00542256" w:rsidP="00542256">
      <w:pPr>
        <w:pStyle w:val="Akapitzlist"/>
        <w:numPr>
          <w:ilvl w:val="0"/>
          <w:numId w:val="1"/>
        </w:numPr>
      </w:pPr>
      <w:r>
        <w:t>Dostępny powinien być filtr emisyjny w zakresie 535-645 nm.</w:t>
      </w:r>
    </w:p>
    <w:p w14:paraId="6ABB70EC" w14:textId="77777777" w:rsidR="00542256" w:rsidRDefault="00542256" w:rsidP="00EF1B0D">
      <w:pPr>
        <w:pStyle w:val="Akapitzlist"/>
        <w:numPr>
          <w:ilvl w:val="0"/>
          <w:numId w:val="1"/>
        </w:numPr>
      </w:pPr>
      <w:r>
        <w:t>Urządzenie ma posiadać funkcję korekcji niedoskonałości układu optycznego – skalibrowane fabrycznie, bez konieczności kalibracji w siedzibie użytkownika.</w:t>
      </w:r>
    </w:p>
    <w:p w14:paraId="33E7FFA0" w14:textId="77777777" w:rsidR="00542256" w:rsidRDefault="002648B9" w:rsidP="002648B9">
      <w:pPr>
        <w:pStyle w:val="Akapitzlist"/>
        <w:numPr>
          <w:ilvl w:val="0"/>
          <w:numId w:val="1"/>
        </w:numPr>
      </w:pPr>
      <w:r>
        <w:t>Panel przedni powinien być</w:t>
      </w:r>
      <w:r w:rsidR="00542256">
        <w:t xml:space="preserve"> wyposażony w ekran dotykowy, o rozmiarze 9,7", służący do</w:t>
      </w:r>
      <w:r>
        <w:t xml:space="preserve"> </w:t>
      </w:r>
      <w:r w:rsidR="00542256">
        <w:t>sterowania systemem z wbudowanym komputerem, zbierania oraz zarządzania</w:t>
      </w:r>
      <w:r>
        <w:t xml:space="preserve"> </w:t>
      </w:r>
      <w:r w:rsidR="00542256">
        <w:t>zapisanymi, w formie obrazów, danymi. Pojemność dysku</w:t>
      </w:r>
      <w:r>
        <w:t xml:space="preserve"> powinna być min.</w:t>
      </w:r>
      <w:r w:rsidR="00542256">
        <w:t xml:space="preserve"> 32 GB.</w:t>
      </w:r>
    </w:p>
    <w:p w14:paraId="66467A8F" w14:textId="77777777" w:rsidR="00542256" w:rsidRDefault="00542256" w:rsidP="007F7A66">
      <w:pPr>
        <w:pStyle w:val="Akapitzlist"/>
        <w:numPr>
          <w:ilvl w:val="0"/>
          <w:numId w:val="1"/>
        </w:numPr>
      </w:pPr>
      <w:r>
        <w:t xml:space="preserve">Urządzenie </w:t>
      </w:r>
      <w:r w:rsidR="002648B9">
        <w:t xml:space="preserve">powinno być </w:t>
      </w:r>
      <w:r>
        <w:t xml:space="preserve">wyposażone w </w:t>
      </w:r>
      <w:r w:rsidR="002648B9">
        <w:t xml:space="preserve">min. 4 porty USB i port </w:t>
      </w:r>
      <w:proofErr w:type="spellStart"/>
      <w:r w:rsidR="002648B9">
        <w:t>Ethernetowy</w:t>
      </w:r>
      <w:proofErr w:type="spellEnd"/>
      <w:r w:rsidR="002648B9">
        <w:t>, z możliwością</w:t>
      </w:r>
      <w:r>
        <w:t xml:space="preserve"> podłączenia</w:t>
      </w:r>
      <w:r w:rsidR="002648B9">
        <w:t xml:space="preserve"> </w:t>
      </w:r>
      <w:r>
        <w:t>myszki, klawiatury oraz drukarki termicznej bezpośrednio do urządzenia.</w:t>
      </w:r>
    </w:p>
    <w:p w14:paraId="38D8AD32" w14:textId="77777777" w:rsidR="00542256" w:rsidRDefault="00542256" w:rsidP="00542256">
      <w:pPr>
        <w:pStyle w:val="Akapitzlist"/>
        <w:numPr>
          <w:ilvl w:val="0"/>
          <w:numId w:val="1"/>
        </w:numPr>
      </w:pPr>
      <w:r>
        <w:t xml:space="preserve">Urządzenie do sterowania i zbierania danych nie </w:t>
      </w:r>
      <w:r w:rsidR="002648B9">
        <w:t xml:space="preserve">powinno </w:t>
      </w:r>
      <w:r>
        <w:t>wymaga</w:t>
      </w:r>
      <w:r w:rsidR="002648B9">
        <w:t>ć</w:t>
      </w:r>
      <w:r>
        <w:t xml:space="preserve"> podłączenia do komputera PC.</w:t>
      </w:r>
    </w:p>
    <w:p w14:paraId="6B792A8F" w14:textId="77777777" w:rsidR="00542256" w:rsidRDefault="00542256" w:rsidP="002648B9">
      <w:pPr>
        <w:pStyle w:val="Akapitzlist"/>
        <w:numPr>
          <w:ilvl w:val="0"/>
          <w:numId w:val="1"/>
        </w:numPr>
      </w:pPr>
      <w:r>
        <w:t xml:space="preserve">Oprogramowanie do akwizycji zdjęć </w:t>
      </w:r>
      <w:r w:rsidR="002648B9">
        <w:t xml:space="preserve">powinno </w:t>
      </w:r>
      <w:r>
        <w:t>umożliwia</w:t>
      </w:r>
      <w:r w:rsidR="002648B9">
        <w:t>ć</w:t>
      </w:r>
      <w:r>
        <w:t xml:space="preserve"> zdefiniowanie kont, chronionych hasłem</w:t>
      </w:r>
      <w:r w:rsidR="002648B9">
        <w:t xml:space="preserve"> </w:t>
      </w:r>
      <w:r>
        <w:t>dla wielu użytkowników.</w:t>
      </w:r>
    </w:p>
    <w:p w14:paraId="22629029" w14:textId="77777777" w:rsidR="00542256" w:rsidRDefault="00542256" w:rsidP="002648B9">
      <w:pPr>
        <w:pStyle w:val="Akapitzlist"/>
        <w:numPr>
          <w:ilvl w:val="0"/>
          <w:numId w:val="1"/>
        </w:numPr>
      </w:pPr>
      <w:r>
        <w:t>Przenoszenie danych</w:t>
      </w:r>
      <w:r w:rsidR="002648B9">
        <w:t xml:space="preserve"> powinno być możliwe</w:t>
      </w:r>
      <w:r>
        <w:t xml:space="preserve"> za pomocą sieci lub przenośnej pamięci USB w formacie </w:t>
      </w:r>
      <w:proofErr w:type="spellStart"/>
      <w:r>
        <w:t>tif</w:t>
      </w:r>
      <w:proofErr w:type="spellEnd"/>
      <w:r>
        <w:t xml:space="preserve">, </w:t>
      </w:r>
      <w:proofErr w:type="spellStart"/>
      <w:r>
        <w:t>jpeg</w:t>
      </w:r>
      <w:proofErr w:type="spellEnd"/>
      <w:r>
        <w:t>,</w:t>
      </w:r>
      <w:r w:rsidR="002648B9">
        <w:t xml:space="preserve"> </w:t>
      </w:r>
      <w:proofErr w:type="spellStart"/>
      <w:r>
        <w:t>scn</w:t>
      </w:r>
      <w:proofErr w:type="spellEnd"/>
      <w:r>
        <w:t>.</w:t>
      </w:r>
    </w:p>
    <w:p w14:paraId="3A413110" w14:textId="77777777" w:rsidR="00542256" w:rsidRDefault="00542256" w:rsidP="00542256">
      <w:pPr>
        <w:pStyle w:val="Akapitzlist"/>
        <w:numPr>
          <w:ilvl w:val="0"/>
          <w:numId w:val="1"/>
        </w:numPr>
      </w:pPr>
      <w:r>
        <w:t xml:space="preserve">Waga urządzenia: </w:t>
      </w:r>
      <w:r w:rsidR="002648B9">
        <w:t>do 20</w:t>
      </w:r>
      <w:r>
        <w:t xml:space="preserve"> kilogramów.</w:t>
      </w:r>
    </w:p>
    <w:p w14:paraId="7204072E" w14:textId="77777777" w:rsidR="00542256" w:rsidRDefault="00542256" w:rsidP="00542256">
      <w:pPr>
        <w:pStyle w:val="Akapitzlist"/>
        <w:numPr>
          <w:ilvl w:val="0"/>
          <w:numId w:val="1"/>
        </w:numPr>
      </w:pPr>
      <w:r>
        <w:t>Wymiary urządzenia</w:t>
      </w:r>
      <w:r w:rsidR="002648B9">
        <w:t>:</w:t>
      </w:r>
      <w:r>
        <w:t xml:space="preserve"> (szer. x dł</w:t>
      </w:r>
      <w:r w:rsidR="002648B9">
        <w:t>. x wys.) 40 cm x 45 cm x 40 cm (+/- 15 cm).</w:t>
      </w:r>
    </w:p>
    <w:p w14:paraId="1F945DC8" w14:textId="77777777" w:rsidR="002648B9" w:rsidRDefault="002648B9" w:rsidP="002648B9">
      <w:pPr>
        <w:pStyle w:val="Akapitzlist"/>
        <w:numPr>
          <w:ilvl w:val="0"/>
          <w:numId w:val="1"/>
        </w:numPr>
      </w:pPr>
      <w:r>
        <w:t>System powinien obejmować o</w:t>
      </w:r>
      <w:r w:rsidR="00542256">
        <w:t>programowanie do analizy obrazu kompatybilne z Windows</w:t>
      </w:r>
      <w:r>
        <w:t xml:space="preserve"> umożliwiające:</w:t>
      </w:r>
    </w:p>
    <w:p w14:paraId="19DE950E" w14:textId="77777777" w:rsidR="00542256" w:rsidRDefault="00542256" w:rsidP="002648B9">
      <w:pPr>
        <w:pStyle w:val="Akapitzlist"/>
        <w:numPr>
          <w:ilvl w:val="0"/>
          <w:numId w:val="3"/>
        </w:numPr>
      </w:pPr>
      <w:r>
        <w:t>tworzenie krzywych kalibracyjnych i analizę ilościową.</w:t>
      </w:r>
    </w:p>
    <w:p w14:paraId="0B08F3EF" w14:textId="77777777" w:rsidR="00542256" w:rsidRDefault="00542256" w:rsidP="002648B9">
      <w:pPr>
        <w:pStyle w:val="Akapitzlist"/>
        <w:numPr>
          <w:ilvl w:val="0"/>
          <w:numId w:val="3"/>
        </w:numPr>
      </w:pPr>
      <w:r>
        <w:t>obróbkę obrazu (obracanie o dowolny kąt, negatyw,</w:t>
      </w:r>
      <w:r w:rsidR="002648B9">
        <w:t xml:space="preserve"> </w:t>
      </w:r>
      <w:r>
        <w:t>regulacja jasności i kontrastu pod kątem wybranego fragmentu lub całego żelu).</w:t>
      </w:r>
    </w:p>
    <w:p w14:paraId="7182D3FD" w14:textId="77777777" w:rsidR="00542256" w:rsidRDefault="00542256" w:rsidP="002648B9">
      <w:pPr>
        <w:pStyle w:val="Akapitzlist"/>
        <w:numPr>
          <w:ilvl w:val="0"/>
          <w:numId w:val="3"/>
        </w:numPr>
      </w:pPr>
      <w:r>
        <w:t>automatyczne rozpoznawanie ścieżek i prążków.</w:t>
      </w:r>
    </w:p>
    <w:p w14:paraId="430B8BA5" w14:textId="77777777" w:rsidR="00542256" w:rsidRDefault="002648B9" w:rsidP="002648B9">
      <w:pPr>
        <w:pStyle w:val="Akapitzlist"/>
        <w:numPr>
          <w:ilvl w:val="0"/>
          <w:numId w:val="3"/>
        </w:numPr>
      </w:pPr>
      <w:r>
        <w:t>a</w:t>
      </w:r>
      <w:r w:rsidR="00542256">
        <w:t>utomatyczne wyznaczanie mas cząsteczkowych.</w:t>
      </w:r>
    </w:p>
    <w:p w14:paraId="2CF900CD" w14:textId="77777777" w:rsidR="00542256" w:rsidRDefault="002648B9" w:rsidP="002648B9">
      <w:pPr>
        <w:pStyle w:val="Akapitzlist"/>
        <w:numPr>
          <w:ilvl w:val="0"/>
          <w:numId w:val="1"/>
        </w:numPr>
      </w:pPr>
      <w:r>
        <w:t>Powinna być dostępna</w:t>
      </w:r>
      <w:r w:rsidR="00542256">
        <w:t xml:space="preserve"> nielimitowana ilość licencji programu do analizy obrazu, obliczeń</w:t>
      </w:r>
      <w:r>
        <w:t xml:space="preserve"> </w:t>
      </w:r>
      <w:r w:rsidR="00542256">
        <w:t>ilościowych i jakościowych. Licencja musi umożliwiać analizę zdjęć dla dowolnej liczby</w:t>
      </w:r>
      <w:r>
        <w:t xml:space="preserve"> </w:t>
      </w:r>
      <w:r w:rsidR="00542256">
        <w:t>użytkowników w tym samym czasie.</w:t>
      </w:r>
    </w:p>
    <w:p w14:paraId="67A0735D" w14:textId="77777777" w:rsidR="002648B9" w:rsidRDefault="002648B9" w:rsidP="002648B9">
      <w:pPr>
        <w:pStyle w:val="Akapitzlist"/>
        <w:numPr>
          <w:ilvl w:val="0"/>
          <w:numId w:val="1"/>
        </w:numPr>
      </w:pPr>
      <w:r>
        <w:t>Poza główną jednostką do wizualizacji system ma posiadać:</w:t>
      </w:r>
    </w:p>
    <w:p w14:paraId="1176AE26" w14:textId="77777777" w:rsidR="00894CD7" w:rsidRDefault="00894CD7" w:rsidP="002648B9">
      <w:pPr>
        <w:pStyle w:val="Akapitzlist"/>
        <w:numPr>
          <w:ilvl w:val="0"/>
          <w:numId w:val="4"/>
        </w:numPr>
      </w:pPr>
      <w:r>
        <w:t>Tackę do aplikacji UV/</w:t>
      </w:r>
      <w:proofErr w:type="spellStart"/>
      <w:r>
        <w:t>Stain-free</w:t>
      </w:r>
      <w:proofErr w:type="spellEnd"/>
    </w:p>
    <w:p w14:paraId="1103A8D8" w14:textId="77777777" w:rsidR="00894CD7" w:rsidRDefault="00894CD7" w:rsidP="00894CD7">
      <w:pPr>
        <w:pStyle w:val="Akapitzlist"/>
        <w:numPr>
          <w:ilvl w:val="0"/>
          <w:numId w:val="4"/>
        </w:numPr>
      </w:pPr>
      <w:r>
        <w:lastRenderedPageBreak/>
        <w:t xml:space="preserve">Niebieską tackę przeznaczona do wizualizacji kwasów nukleinowych barwionych zamiennikami bromku </w:t>
      </w:r>
      <w:proofErr w:type="spellStart"/>
      <w:r>
        <w:t>etydyny</w:t>
      </w:r>
      <w:proofErr w:type="spellEnd"/>
      <w:r>
        <w:t xml:space="preserve"> </w:t>
      </w:r>
    </w:p>
    <w:p w14:paraId="5471336B" w14:textId="77777777" w:rsidR="00894CD7" w:rsidRDefault="00894CD7" w:rsidP="00E164CE">
      <w:pPr>
        <w:pStyle w:val="Akapitzlist"/>
        <w:numPr>
          <w:ilvl w:val="0"/>
          <w:numId w:val="4"/>
        </w:numPr>
      </w:pPr>
      <w:r>
        <w:t xml:space="preserve">Białą tackę przeznaczoną do żeli i </w:t>
      </w:r>
      <w:proofErr w:type="spellStart"/>
      <w:r>
        <w:t>blotów</w:t>
      </w:r>
      <w:proofErr w:type="spellEnd"/>
      <w:r>
        <w:t xml:space="preserve"> barwionych błękitem </w:t>
      </w:r>
      <w:proofErr w:type="spellStart"/>
      <w:r>
        <w:t>Coomassie</w:t>
      </w:r>
      <w:proofErr w:type="spellEnd"/>
      <w:r>
        <w:t xml:space="preserve">, barwnikami miedziowymi, srebrnymi lub cynkowymi. </w:t>
      </w:r>
    </w:p>
    <w:p w14:paraId="15CE7E9E" w14:textId="77777777" w:rsidR="00542256" w:rsidRDefault="00542256" w:rsidP="00894CD7">
      <w:pPr>
        <w:pStyle w:val="Akapitzlist"/>
        <w:numPr>
          <w:ilvl w:val="0"/>
          <w:numId w:val="4"/>
        </w:numPr>
      </w:pPr>
      <w:r>
        <w:t>Zabezpieczenie w postaci dodatkowej nakładki, osłony (</w:t>
      </w:r>
      <w:proofErr w:type="spellStart"/>
      <w:r>
        <w:t>plexi</w:t>
      </w:r>
      <w:proofErr w:type="spellEnd"/>
      <w:r>
        <w:t>), dzięki której chronimy</w:t>
      </w:r>
      <w:r w:rsidR="00894CD7">
        <w:t xml:space="preserve"> </w:t>
      </w:r>
      <w:r>
        <w:t>oczy podczas wycinania prążków z żelu.</w:t>
      </w:r>
    </w:p>
    <w:p w14:paraId="2DDC38B5" w14:textId="77777777" w:rsidR="00894CD7" w:rsidRDefault="00894CD7" w:rsidP="00894CD7">
      <w:pPr>
        <w:pStyle w:val="Akapitzlist"/>
        <w:numPr>
          <w:ilvl w:val="0"/>
          <w:numId w:val="1"/>
        </w:numPr>
      </w:pPr>
      <w:r>
        <w:t xml:space="preserve">Kabel zasilający </w:t>
      </w:r>
      <w:r w:rsidRPr="00894CD7">
        <w:t xml:space="preserve">IEC </w:t>
      </w:r>
      <w:proofErr w:type="spellStart"/>
      <w:r w:rsidRPr="00894CD7">
        <w:t>coupler</w:t>
      </w:r>
      <w:proofErr w:type="spellEnd"/>
      <w:r w:rsidRPr="00894CD7">
        <w:t xml:space="preserve"> C13/C14</w:t>
      </w:r>
      <w:r>
        <w:t> </w:t>
      </w:r>
      <w:r w:rsidRPr="00894CD7">
        <w:t>220V</w:t>
      </w:r>
      <w:r w:rsidR="00D901A1">
        <w:t xml:space="preserve"> w zestawie.</w:t>
      </w:r>
    </w:p>
    <w:p w14:paraId="74785244" w14:textId="77777777" w:rsidR="00D901A1" w:rsidRDefault="00D901A1" w:rsidP="00D901A1">
      <w:pPr>
        <w:pStyle w:val="Akapitzlist"/>
        <w:numPr>
          <w:ilvl w:val="0"/>
          <w:numId w:val="1"/>
        </w:numPr>
      </w:pPr>
      <w:r>
        <w:t>Szkolenie i instalacja po stronie Wykonawcy</w:t>
      </w:r>
      <w:r w:rsidR="008D1074">
        <w:t xml:space="preserve"> w siedzibie zamawiającego</w:t>
      </w:r>
      <w:r>
        <w:t>.</w:t>
      </w:r>
    </w:p>
    <w:p w14:paraId="46F8E4BA" w14:textId="77777777" w:rsidR="00D901A1" w:rsidRDefault="00D901A1" w:rsidP="00D901A1">
      <w:pPr>
        <w:pStyle w:val="Akapitzlist"/>
        <w:numPr>
          <w:ilvl w:val="0"/>
          <w:numId w:val="1"/>
        </w:numPr>
      </w:pPr>
      <w:r>
        <w:t>Gwarancja 24 miesiące.</w:t>
      </w:r>
    </w:p>
    <w:p w14:paraId="556B8E4F" w14:textId="77777777" w:rsidR="00542256" w:rsidRDefault="00542256" w:rsidP="00894CD7">
      <w:pPr>
        <w:pStyle w:val="Akapitzlist"/>
      </w:pPr>
    </w:p>
    <w:sectPr w:rsidR="00542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E7A5B"/>
    <w:multiLevelType w:val="hybridMultilevel"/>
    <w:tmpl w:val="9E6622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423ECE"/>
    <w:multiLevelType w:val="hybridMultilevel"/>
    <w:tmpl w:val="1054B356"/>
    <w:lvl w:ilvl="0" w:tplc="70E808D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B05C2"/>
    <w:multiLevelType w:val="hybridMultilevel"/>
    <w:tmpl w:val="288AA3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22644F"/>
    <w:multiLevelType w:val="hybridMultilevel"/>
    <w:tmpl w:val="D2884C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56"/>
    <w:rsid w:val="00254175"/>
    <w:rsid w:val="002648B9"/>
    <w:rsid w:val="003330F6"/>
    <w:rsid w:val="004303E0"/>
    <w:rsid w:val="004C3FC1"/>
    <w:rsid w:val="00542256"/>
    <w:rsid w:val="006116B9"/>
    <w:rsid w:val="006A7A6B"/>
    <w:rsid w:val="00894CD7"/>
    <w:rsid w:val="008D1074"/>
    <w:rsid w:val="00D901A1"/>
    <w:rsid w:val="00D9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11002"/>
  <w15:chartTrackingRefBased/>
  <w15:docId w15:val="{0C57F635-A3D4-4664-84E6-916632D2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2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Genetyki Człowieka PAN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Krysia Kwiatkowska</dc:creator>
  <cp:keywords/>
  <dc:description/>
  <cp:lastModifiedBy>Agnieszka Konieczka</cp:lastModifiedBy>
  <cp:revision>2</cp:revision>
  <dcterms:created xsi:type="dcterms:W3CDTF">2025-12-08T20:22:00Z</dcterms:created>
  <dcterms:modified xsi:type="dcterms:W3CDTF">2025-12-08T20:22:00Z</dcterms:modified>
</cp:coreProperties>
</file>